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02" w:rsidRPr="00FD4202" w:rsidRDefault="00FD4202" w:rsidP="00FD4202">
      <w:pPr>
        <w:jc w:val="center"/>
        <w:rPr>
          <w:sz w:val="4"/>
          <w:szCs w:val="4"/>
        </w:rPr>
      </w:pPr>
    </w:p>
    <w:p w:rsidR="00FD4202" w:rsidRDefault="00FD4202" w:rsidP="00FD4202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FD4202" w:rsidRDefault="00FD4202" w:rsidP="00FD4202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FD4202" w:rsidRDefault="00FD4202" w:rsidP="00FD4202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FD4202" w:rsidRDefault="00FD4202" w:rsidP="00FD4202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FD4202" w:rsidRPr="000247DB" w:rsidRDefault="00FD4202" w:rsidP="00FD4202">
      <w:pPr>
        <w:rPr>
          <w:sz w:val="28"/>
          <w:szCs w:val="28"/>
        </w:rPr>
      </w:pPr>
    </w:p>
    <w:p w:rsidR="00FD4202" w:rsidRPr="00CA400C" w:rsidRDefault="00FD4202" w:rsidP="00FD420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68F1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9068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Думы города Пятигорска «О введении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</w:t>
      </w:r>
    </w:p>
    <w:p w:rsidR="00FD4202" w:rsidRDefault="00FD4202" w:rsidP="00FD4202">
      <w:pPr>
        <w:jc w:val="both"/>
        <w:rPr>
          <w:sz w:val="28"/>
          <w:szCs w:val="28"/>
        </w:rPr>
      </w:pPr>
    </w:p>
    <w:p w:rsidR="00B30D35" w:rsidRDefault="00B30D35" w:rsidP="00FD4202">
      <w:pPr>
        <w:jc w:val="both"/>
        <w:rPr>
          <w:sz w:val="28"/>
          <w:szCs w:val="28"/>
        </w:rPr>
      </w:pPr>
    </w:p>
    <w:p w:rsidR="00FD4202" w:rsidRDefault="00FD4202" w:rsidP="00FD4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825AF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ым</w:t>
      </w:r>
      <w:r w:rsidRPr="006825A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825A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6825A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825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Pr="007E0DCD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 </w:t>
      </w:r>
      <w:r w:rsidRPr="007E0DC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0D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0DC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7E0DC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6825AF">
        <w:rPr>
          <w:sz w:val="28"/>
          <w:szCs w:val="28"/>
        </w:rPr>
        <w:t>Уставом муниципального образования города-курорта Пятигорска,</w:t>
      </w:r>
    </w:p>
    <w:p w:rsidR="00FD4202" w:rsidRPr="006825AF" w:rsidRDefault="00FD4202" w:rsidP="00FD4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FD4202" w:rsidRPr="000247DB" w:rsidRDefault="00FD4202" w:rsidP="00FD4202">
      <w:pPr>
        <w:rPr>
          <w:sz w:val="28"/>
          <w:szCs w:val="28"/>
        </w:rPr>
      </w:pPr>
    </w:p>
    <w:p w:rsidR="00FD4202" w:rsidRDefault="00FD4202" w:rsidP="00FD4202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D4202" w:rsidRPr="000247DB" w:rsidRDefault="00FD4202" w:rsidP="00FD4202">
      <w:pPr>
        <w:rPr>
          <w:sz w:val="28"/>
          <w:szCs w:val="28"/>
        </w:rPr>
      </w:pPr>
    </w:p>
    <w:p w:rsidR="00FD4202" w:rsidRDefault="00FD4202" w:rsidP="00FD4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1F17">
        <w:rPr>
          <w:sz w:val="28"/>
          <w:szCs w:val="28"/>
        </w:rPr>
        <w:t xml:space="preserve"> </w:t>
      </w:r>
      <w:r w:rsidRPr="00161F2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161F2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161F2C">
        <w:rPr>
          <w:sz w:val="28"/>
          <w:szCs w:val="28"/>
        </w:rPr>
        <w:t xml:space="preserve"> Думы города Пятигорска от 16 ноября 2005 года №169-54 ГД «О введении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</w:t>
      </w:r>
      <w:r>
        <w:rPr>
          <w:sz w:val="28"/>
          <w:szCs w:val="28"/>
        </w:rPr>
        <w:t xml:space="preserve"> следующие изменения:</w:t>
      </w:r>
    </w:p>
    <w:p w:rsidR="00FD4202" w:rsidRDefault="00FD4202" w:rsidP="00FD4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6524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1 пункты 6 и 7 изложить в следующей редакции:</w:t>
      </w:r>
    </w:p>
    <w:p w:rsidR="00FD4202" w:rsidRDefault="00FD4202" w:rsidP="00FD4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 w:rsidRPr="00AA01B9">
        <w:rPr>
          <w:sz w:val="28"/>
          <w:szCs w:val="28"/>
        </w:rPr>
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</w:r>
      <w:r>
        <w:rPr>
          <w:sz w:val="28"/>
          <w:szCs w:val="28"/>
        </w:rPr>
        <w:t xml:space="preserve">, </w:t>
      </w:r>
      <w:r w:rsidRPr="0062762E">
        <w:rPr>
          <w:sz w:val="28"/>
          <w:szCs w:val="28"/>
        </w:rPr>
        <w:t>за исключением реализации 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«Об обращении лекарственных средств», обувных товаров и предметов одежды, принадлежностей к одежде</w:t>
      </w:r>
      <w:proofErr w:type="gramEnd"/>
      <w:r w:rsidRPr="0062762E">
        <w:rPr>
          <w:sz w:val="28"/>
          <w:szCs w:val="28"/>
        </w:rPr>
        <w:t xml:space="preserve">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Федерации.</w:t>
      </w:r>
    </w:p>
    <w:p w:rsidR="00FD4202" w:rsidRDefault="00FD4202" w:rsidP="00FD4202">
      <w:pPr>
        <w:ind w:firstLine="567"/>
        <w:jc w:val="both"/>
        <w:rPr>
          <w:sz w:val="28"/>
          <w:szCs w:val="28"/>
        </w:rPr>
      </w:pPr>
      <w:r w:rsidRPr="00AA01B9">
        <w:rPr>
          <w:sz w:val="28"/>
          <w:szCs w:val="28"/>
        </w:rPr>
        <w:t xml:space="preserve">7. </w:t>
      </w:r>
      <w:proofErr w:type="gramStart"/>
      <w:r w:rsidRPr="00AA01B9">
        <w:rPr>
          <w:sz w:val="28"/>
          <w:szCs w:val="28"/>
        </w:rPr>
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</w:r>
      <w:r>
        <w:rPr>
          <w:sz w:val="28"/>
          <w:szCs w:val="28"/>
        </w:rPr>
        <w:t xml:space="preserve">, </w:t>
      </w:r>
      <w:r w:rsidRPr="0062762E">
        <w:rPr>
          <w:sz w:val="28"/>
          <w:szCs w:val="28"/>
        </w:rPr>
        <w:t xml:space="preserve">за исключением реализации  лекарственных препаратов, подлежащих обязательной маркировке средствами идентификации, в том </w:t>
      </w:r>
      <w:r w:rsidRPr="0062762E">
        <w:rPr>
          <w:sz w:val="28"/>
          <w:szCs w:val="28"/>
        </w:rPr>
        <w:lastRenderedPageBreak/>
        <w:t>числе контрольными (идентификационными) знаками в соответствии с Федеральным законом от 12 апреля 2010 года № 61-ФЗ «Об обращении лекарственных средств», обувных товаров и предметов одежды, принадлежностей к одежде и прочих изделий</w:t>
      </w:r>
      <w:proofErr w:type="gramEnd"/>
      <w:r w:rsidRPr="0062762E">
        <w:rPr>
          <w:sz w:val="28"/>
          <w:szCs w:val="28"/>
        </w:rPr>
        <w:t xml:space="preserve">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</w:t>
      </w:r>
      <w:proofErr w:type="gramStart"/>
      <w:r w:rsidRPr="0062762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D4202" w:rsidRDefault="00FD4202" w:rsidP="00FD420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2) в Приложении 2:</w:t>
      </w:r>
    </w:p>
    <w:p w:rsidR="00FD4202" w:rsidRDefault="00FD4202" w:rsidP="00FD420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 пункт 7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804"/>
        <w:gridCol w:w="1664"/>
      </w:tblGrid>
      <w:tr w:rsidR="00FD4202" w:rsidRPr="00B30D35" w:rsidTr="0034590C">
        <w:tc>
          <w:tcPr>
            <w:tcW w:w="1101" w:type="dxa"/>
          </w:tcPr>
          <w:p w:rsidR="00FD4202" w:rsidRPr="00B30D35" w:rsidRDefault="00FD4202" w:rsidP="003459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«7.</w:t>
            </w:r>
          </w:p>
        </w:tc>
        <w:tc>
          <w:tcPr>
            <w:tcW w:w="6804" w:type="dxa"/>
          </w:tcPr>
          <w:p w:rsidR="00FD4202" w:rsidRPr="00B30D35" w:rsidRDefault="00FD4202" w:rsidP="0009423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имеющие торговые залы, (при торговле смешанными товарами, на кото</w:t>
            </w:r>
            <w:r w:rsidR="00094238" w:rsidRPr="00B30D35">
              <w:rPr>
                <w:rFonts w:ascii="Times New Roman" w:hAnsi="Times New Roman" w:cs="Times New Roman"/>
                <w:sz w:val="24"/>
                <w:szCs w:val="24"/>
              </w:rPr>
              <w:t>рые установлены разные коэффици</w:t>
            </w:r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енты, применяется мак</w:t>
            </w:r>
            <w:r w:rsidR="00094238" w:rsidRPr="00B30D35">
              <w:rPr>
                <w:rFonts w:ascii="Times New Roman" w:hAnsi="Times New Roman" w:cs="Times New Roman"/>
                <w:sz w:val="24"/>
                <w:szCs w:val="24"/>
              </w:rPr>
              <w:t>симальный из уста</w:t>
            </w:r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новленных коэффициентов), за исключением реализации 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«Об  обращении лекарственных средств», обувных товаров и предметов</w:t>
            </w:r>
            <w:proofErr w:type="gramEnd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Федерации, в том числе:»</w:t>
            </w:r>
            <w:r w:rsidR="00B30D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664" w:type="dxa"/>
          </w:tcPr>
          <w:p w:rsidR="00FD4202" w:rsidRPr="00B30D35" w:rsidRDefault="00FD4202" w:rsidP="003459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D4202" w:rsidRDefault="00FD4202" w:rsidP="00FD420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 подпункт 7.5 пункта 7 изложить в следующей редакции:</w:t>
      </w:r>
    </w:p>
    <w:tbl>
      <w:tblPr>
        <w:tblW w:w="0" w:type="auto"/>
        <w:jc w:val="center"/>
        <w:tblInd w:w="-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6896"/>
        <w:gridCol w:w="1609"/>
      </w:tblGrid>
      <w:tr w:rsidR="00FD4202" w:rsidRPr="00B30D35" w:rsidTr="00526524">
        <w:trPr>
          <w:jc w:val="center"/>
        </w:trPr>
        <w:tc>
          <w:tcPr>
            <w:tcW w:w="954" w:type="dxa"/>
          </w:tcPr>
          <w:p w:rsidR="00FD4202" w:rsidRPr="00B30D35" w:rsidRDefault="00FD4202" w:rsidP="003459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«7.5.</w:t>
            </w:r>
          </w:p>
        </w:tc>
        <w:tc>
          <w:tcPr>
            <w:tcW w:w="6896" w:type="dxa"/>
          </w:tcPr>
          <w:p w:rsidR="00FD4202" w:rsidRPr="00B30D35" w:rsidRDefault="00FD4202" w:rsidP="003459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изделиями из кожи</w:t>
            </w:r>
          </w:p>
        </w:tc>
        <w:tc>
          <w:tcPr>
            <w:tcW w:w="1609" w:type="dxa"/>
          </w:tcPr>
          <w:p w:rsidR="00FD4202" w:rsidRPr="00B30D35" w:rsidRDefault="00FD4202" w:rsidP="003459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0,800»</w:t>
            </w:r>
            <w:r w:rsid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</w:tc>
      </w:tr>
    </w:tbl>
    <w:p w:rsidR="00FD4202" w:rsidRDefault="00526524" w:rsidP="00FD420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в) п</w:t>
      </w:r>
      <w:r w:rsidR="00FD4202">
        <w:rPr>
          <w:rFonts w:ascii="Times New Roman" w:hAnsi="Times New Roman" w:cs="Times New Roman"/>
          <w:b w:val="0"/>
          <w:bCs w:val="0"/>
          <w:sz w:val="28"/>
          <w:szCs w:val="28"/>
        </w:rPr>
        <w:t>ункт 8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804"/>
        <w:gridCol w:w="1559"/>
      </w:tblGrid>
      <w:tr w:rsidR="00FD4202" w:rsidRPr="00B30D35" w:rsidTr="0034590C">
        <w:tc>
          <w:tcPr>
            <w:tcW w:w="1101" w:type="dxa"/>
          </w:tcPr>
          <w:p w:rsidR="00FD4202" w:rsidRPr="00B30D35" w:rsidRDefault="00FD4202" w:rsidP="003459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«8.</w:t>
            </w:r>
          </w:p>
        </w:tc>
        <w:tc>
          <w:tcPr>
            <w:tcW w:w="6804" w:type="dxa"/>
          </w:tcPr>
          <w:p w:rsidR="00FD4202" w:rsidRPr="00B30D35" w:rsidRDefault="00FD4202" w:rsidP="0034590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реализации 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     № 61-ФЗ «Об обращении лекарственных средств», обувных товаров и </w:t>
            </w:r>
            <w:r w:rsidRPr="00B3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одежды, принадлежностей к одежде и прочих</w:t>
            </w:r>
            <w:proofErr w:type="gramEnd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Федерации, в том числе</w:t>
            </w:r>
            <w:proofErr w:type="gramStart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="00B30D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FD4202" w:rsidRPr="00B30D35" w:rsidRDefault="00FD4202" w:rsidP="003459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D4202" w:rsidRDefault="00094238" w:rsidP="00FD420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г)</w:t>
      </w:r>
      <w:r w:rsidR="00FD4202" w:rsidRPr="009068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FD4202">
        <w:rPr>
          <w:rFonts w:ascii="Times New Roman" w:hAnsi="Times New Roman" w:cs="Times New Roman"/>
          <w:b w:val="0"/>
          <w:bCs w:val="0"/>
          <w:sz w:val="28"/>
          <w:szCs w:val="28"/>
        </w:rPr>
        <w:t>ункт 9 изложить в следующей редакции:</w:t>
      </w:r>
    </w:p>
    <w:tbl>
      <w:tblPr>
        <w:tblW w:w="0" w:type="auto"/>
        <w:jc w:val="center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6804"/>
        <w:gridCol w:w="1701"/>
      </w:tblGrid>
      <w:tr w:rsidR="00FD4202" w:rsidRPr="00B30D35" w:rsidTr="0034590C">
        <w:trPr>
          <w:jc w:val="center"/>
        </w:trPr>
        <w:tc>
          <w:tcPr>
            <w:tcW w:w="954" w:type="dxa"/>
          </w:tcPr>
          <w:p w:rsidR="00FD4202" w:rsidRPr="00B30D35" w:rsidRDefault="00FD4202" w:rsidP="003459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«9.</w:t>
            </w:r>
          </w:p>
        </w:tc>
        <w:tc>
          <w:tcPr>
            <w:tcW w:w="6804" w:type="dxa"/>
          </w:tcPr>
          <w:p w:rsidR="00FD4202" w:rsidRPr="00B30D35" w:rsidRDefault="00FD4202" w:rsidP="0034590C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Развозная и разносная розничная торговля за исключением реализации 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«Об обращении лекарственных средств»,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</w:t>
            </w:r>
            <w:proofErr w:type="gramEnd"/>
            <w:r w:rsidRPr="00B30D35">
              <w:rPr>
                <w:rFonts w:ascii="Times New Roman" w:hAnsi="Times New Roman" w:cs="Times New Roman"/>
                <w:sz w:val="24"/>
                <w:szCs w:val="24"/>
              </w:rPr>
              <w:t>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</w:t>
            </w:r>
            <w:r w:rsidR="00094238" w:rsidRPr="00B3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4202" w:rsidRPr="00B30D35" w:rsidRDefault="00FD4202" w:rsidP="003459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0,850</w:t>
            </w:r>
            <w:r w:rsidR="00094238" w:rsidRPr="00B30D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</w:tc>
      </w:tr>
    </w:tbl>
    <w:p w:rsidR="00FD4202" w:rsidRPr="006825AF" w:rsidRDefault="00FD4202" w:rsidP="00B30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25AF">
        <w:rPr>
          <w:sz w:val="28"/>
          <w:szCs w:val="28"/>
        </w:rPr>
        <w:t xml:space="preserve">. </w:t>
      </w:r>
      <w:proofErr w:type="gramStart"/>
      <w:r w:rsidRPr="006825AF">
        <w:rPr>
          <w:sz w:val="28"/>
          <w:szCs w:val="28"/>
        </w:rPr>
        <w:t>Контроль за</w:t>
      </w:r>
      <w:proofErr w:type="gramEnd"/>
      <w:r w:rsidRPr="006825AF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6825AF">
        <w:rPr>
          <w:sz w:val="28"/>
          <w:szCs w:val="28"/>
        </w:rPr>
        <w:t>полнением настоящего решения возложить на администрацию города Пятигорска.</w:t>
      </w:r>
    </w:p>
    <w:p w:rsidR="00B30D35" w:rsidRDefault="00FD4202" w:rsidP="00B30D35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2020 года</w:t>
      </w:r>
      <w:r w:rsidR="00B30D35">
        <w:rPr>
          <w:sz w:val="28"/>
          <w:szCs w:val="28"/>
        </w:rPr>
        <w:t xml:space="preserve"> и подлежит официальному опубликованию в общественно-политической газете «Пятигорская Правда».</w:t>
      </w:r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</w:p>
    <w:p w:rsidR="00B30D35" w:rsidRDefault="00B30D35" w:rsidP="00FD4202">
      <w:pPr>
        <w:tabs>
          <w:tab w:val="left" w:pos="7920"/>
        </w:tabs>
        <w:rPr>
          <w:sz w:val="28"/>
          <w:szCs w:val="28"/>
        </w:rPr>
      </w:pPr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</w:t>
      </w:r>
      <w:r w:rsidR="00B30D35">
        <w:rPr>
          <w:sz w:val="28"/>
          <w:szCs w:val="28"/>
        </w:rPr>
        <w:t xml:space="preserve">      </w:t>
      </w:r>
      <w:proofErr w:type="spellStart"/>
      <w:r w:rsidR="00B30D35">
        <w:rPr>
          <w:sz w:val="28"/>
          <w:szCs w:val="28"/>
        </w:rPr>
        <w:t>Л.В.</w:t>
      </w:r>
      <w:r>
        <w:rPr>
          <w:sz w:val="28"/>
          <w:szCs w:val="28"/>
        </w:rPr>
        <w:t>Похилько</w:t>
      </w:r>
      <w:proofErr w:type="spellEnd"/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</w:t>
      </w:r>
      <w:r w:rsidR="00B3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B30D35">
        <w:rPr>
          <w:sz w:val="28"/>
          <w:szCs w:val="28"/>
        </w:rPr>
        <w:t>А.В.</w:t>
      </w:r>
      <w:r>
        <w:rPr>
          <w:sz w:val="28"/>
          <w:szCs w:val="28"/>
        </w:rPr>
        <w:t>Скрипник</w:t>
      </w:r>
      <w:proofErr w:type="spellEnd"/>
    </w:p>
    <w:p w:rsidR="00FD4202" w:rsidRDefault="00FD4202" w:rsidP="00FD4202">
      <w:pPr>
        <w:tabs>
          <w:tab w:val="left" w:pos="7920"/>
        </w:tabs>
        <w:rPr>
          <w:sz w:val="28"/>
          <w:szCs w:val="28"/>
        </w:rPr>
      </w:pPr>
    </w:p>
    <w:p w:rsidR="00B30D35" w:rsidRDefault="00B30D35" w:rsidP="00FD4202">
      <w:pPr>
        <w:tabs>
          <w:tab w:val="left" w:pos="7920"/>
        </w:tabs>
        <w:rPr>
          <w:sz w:val="28"/>
          <w:szCs w:val="28"/>
        </w:rPr>
      </w:pPr>
    </w:p>
    <w:p w:rsidR="00DA5B53" w:rsidRDefault="00DA5B53" w:rsidP="00FD4202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24 декабря 2019 г.</w:t>
      </w:r>
    </w:p>
    <w:p w:rsidR="00FD4202" w:rsidRDefault="00B30D35" w:rsidP="00FD4202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№</w:t>
      </w:r>
      <w:r w:rsidR="00DA5B53">
        <w:rPr>
          <w:sz w:val="28"/>
          <w:szCs w:val="28"/>
        </w:rPr>
        <w:t xml:space="preserve"> 36-42 РД</w:t>
      </w:r>
    </w:p>
    <w:p w:rsidR="00EE28B0" w:rsidRDefault="00EE28B0"/>
    <w:sectPr w:rsidR="00EE28B0" w:rsidSect="00B30D35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FD4202"/>
    <w:rsid w:val="00094238"/>
    <w:rsid w:val="00526524"/>
    <w:rsid w:val="00853F8D"/>
    <w:rsid w:val="0087278C"/>
    <w:rsid w:val="00A432BA"/>
    <w:rsid w:val="00B30D35"/>
    <w:rsid w:val="00BD5DF2"/>
    <w:rsid w:val="00C56A38"/>
    <w:rsid w:val="00D91911"/>
    <w:rsid w:val="00DA5B53"/>
    <w:rsid w:val="00EE28B0"/>
    <w:rsid w:val="00FD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4202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D4202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D4202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20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D420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D420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Title">
    <w:name w:val="ConsPlusTitle"/>
    <w:uiPriority w:val="99"/>
    <w:rsid w:val="00FD4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2019-12-18T11:25:00Z</cp:lastPrinted>
  <dcterms:created xsi:type="dcterms:W3CDTF">2019-12-23T13:45:00Z</dcterms:created>
  <dcterms:modified xsi:type="dcterms:W3CDTF">2019-12-26T13:59:00Z</dcterms:modified>
</cp:coreProperties>
</file>