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A0" w:rsidRDefault="002506A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506A0" w:rsidRDefault="002506A0">
      <w:pPr>
        <w:pStyle w:val="ConsPlusNormal"/>
        <w:jc w:val="both"/>
        <w:outlineLvl w:val="0"/>
      </w:pPr>
    </w:p>
    <w:p w:rsidR="002506A0" w:rsidRDefault="002506A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506A0" w:rsidRDefault="002506A0">
      <w:pPr>
        <w:pStyle w:val="ConsPlusTitle"/>
        <w:jc w:val="center"/>
      </w:pPr>
    </w:p>
    <w:p w:rsidR="002506A0" w:rsidRDefault="002506A0">
      <w:pPr>
        <w:pStyle w:val="ConsPlusTitle"/>
        <w:jc w:val="center"/>
      </w:pPr>
      <w:r>
        <w:t>РАСПОРЯЖЕНИЕ</w:t>
      </w:r>
    </w:p>
    <w:p w:rsidR="002506A0" w:rsidRDefault="002506A0">
      <w:pPr>
        <w:pStyle w:val="ConsPlusTitle"/>
        <w:jc w:val="center"/>
      </w:pPr>
      <w:r>
        <w:t>от 18 октября 2018 г. N 2258-р</w:t>
      </w:r>
    </w:p>
    <w:p w:rsidR="002506A0" w:rsidRDefault="002506A0">
      <w:pPr>
        <w:pStyle w:val="ConsPlusNormal"/>
        <w:jc w:val="center"/>
      </w:pPr>
    </w:p>
    <w:p w:rsidR="002506A0" w:rsidRDefault="002506A0">
      <w:pPr>
        <w:pStyle w:val="ConsPlusNormal"/>
        <w:ind w:firstLine="540"/>
        <w:jc w:val="both"/>
      </w:pPr>
      <w:r>
        <w:t xml:space="preserve">1. В целях реализации </w:t>
      </w:r>
      <w:hyperlink r:id="rId6" w:history="1">
        <w:r>
          <w:rPr>
            <w:color w:val="0000FF"/>
          </w:rPr>
          <w:t>Национального плана</w:t>
        </w:r>
      </w:hyperlink>
      <w:r>
        <w:t xml:space="preserve"> развития конкуренции в Российской Федерации на 2018 - 2020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утвердить прилагаемые </w:t>
      </w:r>
      <w:hyperlink w:anchor="P23" w:history="1">
        <w:r>
          <w:rPr>
            <w:color w:val="0000FF"/>
          </w:rPr>
          <w:t>методические рекомендации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 xml:space="preserve">2. Рекомендовать органам исполнительной власти субъектов Российской Федерации и органам местного самоуправления при создании и организации системы внутреннего обеспечения соответствия требованиям антимонопольного законодательства руководствоваться </w:t>
      </w:r>
      <w:hyperlink w:anchor="P23" w:history="1">
        <w:r>
          <w:rPr>
            <w:color w:val="0000FF"/>
          </w:rPr>
          <w:t>методическими рекомендациями</w:t>
        </w:r>
      </w:hyperlink>
      <w:r>
        <w:t>, утвержденными настоящим распоряжением.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3. Создание и организация федеральными органами исполнительной власти системы внутреннего обеспечения соответствия требованиям антимонопольного законодательства осуществляется в пределах установленной Правительством Российской Федерации штатной численности этих федеральных органов исполнительной власти и средств, предусмотренных им на руководство и управление в сфере установленных функций.</w:t>
      </w: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Normal"/>
        <w:jc w:val="right"/>
      </w:pPr>
      <w:r>
        <w:t>Председатель Правительства</w:t>
      </w:r>
    </w:p>
    <w:p w:rsidR="002506A0" w:rsidRDefault="002506A0">
      <w:pPr>
        <w:pStyle w:val="ConsPlusNormal"/>
        <w:jc w:val="right"/>
      </w:pPr>
      <w:r>
        <w:t>Российской Федерации</w:t>
      </w:r>
    </w:p>
    <w:p w:rsidR="002506A0" w:rsidRDefault="002506A0">
      <w:pPr>
        <w:pStyle w:val="ConsPlusNormal"/>
        <w:jc w:val="right"/>
      </w:pPr>
      <w:r>
        <w:t>Д.МЕДВЕДЕВ</w:t>
      </w:r>
    </w:p>
    <w:p w:rsidR="002506A0" w:rsidRDefault="002506A0">
      <w:pPr>
        <w:pStyle w:val="ConsPlusNormal"/>
        <w:jc w:val="right"/>
      </w:pPr>
    </w:p>
    <w:p w:rsidR="002506A0" w:rsidRDefault="002506A0">
      <w:pPr>
        <w:pStyle w:val="ConsPlusNormal"/>
        <w:jc w:val="right"/>
      </w:pPr>
    </w:p>
    <w:p w:rsidR="002506A0" w:rsidRDefault="002506A0">
      <w:pPr>
        <w:pStyle w:val="ConsPlusNormal"/>
        <w:jc w:val="right"/>
      </w:pPr>
    </w:p>
    <w:p w:rsidR="002506A0" w:rsidRDefault="002506A0">
      <w:pPr>
        <w:pStyle w:val="ConsPlusNormal"/>
        <w:jc w:val="right"/>
      </w:pPr>
    </w:p>
    <w:p w:rsidR="002506A0" w:rsidRDefault="002506A0">
      <w:pPr>
        <w:pStyle w:val="ConsPlusNormal"/>
        <w:jc w:val="right"/>
      </w:pPr>
    </w:p>
    <w:p w:rsidR="002506A0" w:rsidRDefault="002506A0">
      <w:pPr>
        <w:pStyle w:val="ConsPlusNormal"/>
        <w:jc w:val="right"/>
        <w:outlineLvl w:val="0"/>
      </w:pPr>
      <w:r>
        <w:t>Утверждены</w:t>
      </w:r>
    </w:p>
    <w:p w:rsidR="002506A0" w:rsidRDefault="002506A0">
      <w:pPr>
        <w:pStyle w:val="ConsPlusNormal"/>
        <w:jc w:val="right"/>
      </w:pPr>
      <w:r>
        <w:t>распоряжением Правительства</w:t>
      </w:r>
    </w:p>
    <w:p w:rsidR="002506A0" w:rsidRDefault="002506A0">
      <w:pPr>
        <w:pStyle w:val="ConsPlusNormal"/>
        <w:jc w:val="right"/>
      </w:pPr>
      <w:r>
        <w:t>Российской Федерации</w:t>
      </w:r>
    </w:p>
    <w:p w:rsidR="002506A0" w:rsidRDefault="002506A0">
      <w:pPr>
        <w:pStyle w:val="ConsPlusNormal"/>
        <w:jc w:val="right"/>
      </w:pPr>
      <w:r>
        <w:t>от 18 октября 2018 г. N 2258-р</w:t>
      </w: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Title"/>
        <w:jc w:val="center"/>
      </w:pPr>
      <w:bookmarkStart w:id="0" w:name="P23"/>
      <w:bookmarkEnd w:id="0"/>
      <w:r>
        <w:t>МЕТОДИЧЕСКИЕ РЕКОМЕНДАЦИИ</w:t>
      </w:r>
    </w:p>
    <w:p w:rsidR="002506A0" w:rsidRDefault="002506A0">
      <w:pPr>
        <w:pStyle w:val="ConsPlusTitle"/>
        <w:jc w:val="center"/>
      </w:pPr>
      <w:r>
        <w:t>ПО СОЗДАНИЮ И ОРГАНИЗАЦИИ ФЕДЕРАЛЬНЫМИ ОРГАНАМИ</w:t>
      </w:r>
    </w:p>
    <w:p w:rsidR="002506A0" w:rsidRDefault="002506A0">
      <w:pPr>
        <w:pStyle w:val="ConsPlusTitle"/>
        <w:jc w:val="center"/>
      </w:pPr>
      <w:r>
        <w:t xml:space="preserve">ИСПОЛНИТЕЛЬНОЙ ВЛАСТИ СИСТЕМЫ ВНУТРЕННЕГО </w:t>
      </w:r>
      <w:r>
        <w:lastRenderedPageBreak/>
        <w:t>ОБЕСПЕЧЕНИЯ</w:t>
      </w:r>
    </w:p>
    <w:p w:rsidR="002506A0" w:rsidRDefault="002506A0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Title"/>
        <w:jc w:val="center"/>
        <w:outlineLvl w:val="1"/>
      </w:pPr>
      <w:r>
        <w:t>I. Общие положения</w:t>
      </w: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Normal"/>
        <w:ind w:firstLine="540"/>
        <w:jc w:val="both"/>
      </w:pPr>
      <w:r>
        <w:t>1. Настоящие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антимонопольный комплаенс).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2. Термины, используемые в настоящих методических рекомендациях, означают следующее: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 xml:space="preserve">"антимонопольное законодательство" - законодательство, основывающееся на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Гражданском </w:t>
      </w:r>
      <w:hyperlink r:id="rId8" w:history="1">
        <w:r>
          <w:rPr>
            <w:color w:val="0000FF"/>
          </w:rPr>
          <w:t>кодексе</w:t>
        </w:r>
      </w:hyperlink>
      <w:r>
        <w:t xml:space="preserve"> Российской Федерации и состоящее из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"антимонопольный орган" - федеральный антимонопольный орган и его территориальные органы;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"доклад об антимонопольном комплаенсе" - документ, содержащий информацию об организации в федеральном органе исполнительной власти антимонопольного комплаенса и о его функционировании;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"коллегиальный орган" - совещательный орган, осуществляющий оценку эффективности функционирования антимонопольного комплаенса;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"нарушение антимонопольного законодательства" - недопущение, ограничение, устранение конкуренции федеральным органом исполнительной власти;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 xml:space="preserve">"риски нарушения антимонопольного законодательства" - сочетание вероятности и последствий наступления неблагоприятных событий в виде </w:t>
      </w:r>
      <w:r>
        <w:lastRenderedPageBreak/>
        <w:t>ограничения, устранения или недопущения конкуренции;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"уполномоченное подразделение" - подразделение федерального органа исполнительной власти, осуществляющее внедрение антимонопольного комплаенса и контроль за его исполнением в федеральном органе исполнительной власти.</w:t>
      </w: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Title"/>
        <w:jc w:val="center"/>
        <w:outlineLvl w:val="1"/>
      </w:pPr>
      <w:r>
        <w:t>II. Цели, задачи и принципы антимонопольного комплаенса</w:t>
      </w: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Normal"/>
        <w:ind w:firstLine="540"/>
        <w:jc w:val="both"/>
      </w:pPr>
      <w:r>
        <w:t>3. Цели антимонопольного комплаенса: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а) обеспечение соответствия деятельности федерального органа исполнительной власти требованиям антимонопольного законодательства;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4. Задачи антимонопольного комплаенса: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а) выявление рисков нарушения антимонопольного законодательства;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б) управление рисками нарушения антимонопольного законодательства;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в) контроль за соответствием деятельности федерального органа исполнительной власти требованиям антимонопольного законодательства;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г) оценка эффективности функционирования в федеральном органе исполнительной власти антимонопольного комплаенса.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5. При организации антимонопольного комплаенса федеральному органу исполнительной власти рекомендуется руководствоваться следующими принципами: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а) заинтересованность руководства федерального органа исполнительной власти в эффективности функционирования антимонопольного комплаенса;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б) регулярность оценки рисков нарушения антимонопольного законодательства;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в) обеспечение информационной открытости функционирования в федеральном органе исполнительной власти антимонопольного комплаенса;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г) непрерывность функционирования антимонопольного комплаенса в федеральном органе исполнительной власти;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д) совершенствование антимонопольного комплаенса.</w:t>
      </w:r>
    </w:p>
    <w:p w:rsidR="002506A0" w:rsidRDefault="002506A0">
      <w:pPr>
        <w:pStyle w:val="ConsPlusNormal"/>
        <w:jc w:val="center"/>
      </w:pPr>
    </w:p>
    <w:p w:rsidR="002506A0" w:rsidRDefault="002506A0">
      <w:pPr>
        <w:pStyle w:val="ConsPlusTitle"/>
        <w:jc w:val="center"/>
        <w:outlineLvl w:val="1"/>
      </w:pPr>
      <w:r>
        <w:t>III. Акт об антимонопольном комплаенсе</w:t>
      </w:r>
    </w:p>
    <w:p w:rsidR="002506A0" w:rsidRDefault="002506A0">
      <w:pPr>
        <w:pStyle w:val="ConsPlusNormal"/>
        <w:jc w:val="center"/>
      </w:pPr>
    </w:p>
    <w:p w:rsidR="002506A0" w:rsidRDefault="002506A0">
      <w:pPr>
        <w:pStyle w:val="ConsPlusNormal"/>
        <w:ind w:firstLine="540"/>
        <w:jc w:val="both"/>
      </w:pPr>
      <w:r>
        <w:t>6. Для организации антимонопольного комплаенса федеральным органом исполнительной власти должен быть принят акт, в котором содержатся: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а) сведения об уполномоченном подразделении (должностном лице), ответственном за функционирование антимонопольного комплаенса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б)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в) порядок ознакомления служащих федерального органа исполнительной власти с актом об организации антимонопольного комплаенса;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г) меры, направленные на осуществление федеральным органом исполнительной власти контроля за функционированием антимонопольного комплаенса;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д) ключевые показатели и порядок оценки эффективности функционирования антимонопольного комплаенса в федеральном органе исполнительной власти.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7. Акт об антимонопольном комплаенсе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p w:rsidR="002506A0" w:rsidRDefault="002506A0">
      <w:pPr>
        <w:pStyle w:val="ConsPlusNormal"/>
        <w:jc w:val="center"/>
      </w:pPr>
    </w:p>
    <w:p w:rsidR="002506A0" w:rsidRDefault="002506A0">
      <w:pPr>
        <w:pStyle w:val="ConsPlusTitle"/>
        <w:jc w:val="center"/>
        <w:outlineLvl w:val="1"/>
      </w:pPr>
      <w:r>
        <w:t>IV. Уполномоченное подразделение (должностное лицо)</w:t>
      </w:r>
    </w:p>
    <w:p w:rsidR="002506A0" w:rsidRDefault="002506A0">
      <w:pPr>
        <w:pStyle w:val="ConsPlusTitle"/>
        <w:jc w:val="center"/>
      </w:pPr>
      <w:r>
        <w:t>и коллегиальный орган</w:t>
      </w:r>
    </w:p>
    <w:p w:rsidR="002506A0" w:rsidRDefault="002506A0">
      <w:pPr>
        <w:pStyle w:val="ConsPlusNormal"/>
        <w:jc w:val="center"/>
      </w:pPr>
    </w:p>
    <w:p w:rsidR="002506A0" w:rsidRDefault="002506A0">
      <w:pPr>
        <w:pStyle w:val="ConsPlusNormal"/>
        <w:ind w:firstLine="540"/>
        <w:jc w:val="both"/>
      </w:pPr>
      <w:r>
        <w:t>8. Общий контроль за организацией и функционированием в федеральном органе исполнительной власти антимонопольного комплаенса должен осуществляться руководителем федерального органа исполнительной власти, который: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а) вводит в действие акт об антимонопольном комплаенсе,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комплаенса;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 xml:space="preserve">б) применяет предусмотренные законодательством Российской Федерации </w:t>
      </w:r>
      <w:r>
        <w:lastRenderedPageBreak/>
        <w:t>меры ответственности за несоблюдение служащими федерального органа исполнительной власти акта об антимонопольном комплаенсе;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г) осуществляет контроль за устранением выявленных недостатков антимонопольного комплаенса.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9. В целях организации и функционирования антимонопольного комплаенса в федеральном органе исполнительной власти 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федерального органа исполнительной власти.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а) подотчетность уполномоченного подразделения (должностного лица) непосредственно руководству федерального органа исполнительной власти;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11. К компетенции уполномоченного подразделения (должностного лица) должны относиться следующие функции: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а) подготовка и представление руководителю федерального органа исполнительной власти акта об антимонопольном комплаенсе (внесении изменений в антимонопольный комплаенс), а также внутриведомственных документов федерального органа исполнительной власти, регламентирующих процедуры антимонопольного комплаенса;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в) выявление конфликта интересов в деятельности служащих и структурных подразделений федерального органа исполнительной власти, разработка предложений по их исключению;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lastRenderedPageBreak/>
        <w:t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комплаенсом;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д) организация взаимодействия с другими структурными подразделениями федерального органа исполнительной власти по вопросам, связанным с антимонопольным комплаенсом;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е) разработка процедуры внутреннего расследования, связанного с функционированием антимонопольного комплаенса;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ж) организация внутренних расследований, связанных с функционированием антимонопольного комплаенса, и участие в них;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к) иные функции, связанные с функционированием антимонопольного комплаенса.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12. Оценку эффективности организации и функционирования в федеральном органе исполнительной власти антимонопольного комплаенса осуществляет коллегиальный орган.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13. К функциям коллегиального органа должны относиться: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а) рассмотрение и оценка мероприятий федерального органа исполнительной власти в части, касающейся функционирования антимонопольного комплаенса;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б) рассмотрение и утверждение доклада об антимонопольном комплаенсе.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14. Функции коллегиального органа могут быть возложены на общественный совет при федеральном органе исполнительной власти.</w:t>
      </w:r>
    </w:p>
    <w:p w:rsidR="002506A0" w:rsidRDefault="002506A0">
      <w:pPr>
        <w:pStyle w:val="ConsPlusNormal"/>
        <w:jc w:val="center"/>
      </w:pPr>
    </w:p>
    <w:p w:rsidR="002506A0" w:rsidRDefault="002506A0">
      <w:pPr>
        <w:pStyle w:val="ConsPlusTitle"/>
        <w:jc w:val="center"/>
        <w:outlineLvl w:val="1"/>
      </w:pPr>
      <w:r>
        <w:t>V. Выявление и оценка рисков нарушения</w:t>
      </w:r>
    </w:p>
    <w:p w:rsidR="002506A0" w:rsidRDefault="002506A0">
      <w:pPr>
        <w:pStyle w:val="ConsPlusTitle"/>
        <w:jc w:val="center"/>
      </w:pPr>
      <w:r>
        <w:t>антимонопольного законодательства</w:t>
      </w:r>
    </w:p>
    <w:p w:rsidR="002506A0" w:rsidRDefault="002506A0">
      <w:pPr>
        <w:pStyle w:val="ConsPlusNormal"/>
        <w:jc w:val="center"/>
      </w:pPr>
    </w:p>
    <w:p w:rsidR="002506A0" w:rsidRDefault="002506A0">
      <w:pPr>
        <w:pStyle w:val="ConsPlusNormal"/>
        <w:ind w:firstLine="540"/>
        <w:jc w:val="both"/>
      </w:pPr>
      <w:r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проводиться: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lastRenderedPageBreak/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б) анализ нормативных правовых актов федерального органа исполнительной власти;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в) анализ проектов нормативных правовых актов федерального органа исполнительной власти;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г) мониторинг и анализ практики применения федеральным органом исполнительной власти антимонопольного законодательства;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16. 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а) осуществление сбора в структурных подразделениях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б) составление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17. При проведении (не реже одного раза в год) уполномоченным подразделением (должностным лицом) анализа нормативных правовых актов федерального органа исполнительной власти должны реализовываться следующие мероприятия: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lastRenderedPageBreak/>
        <w:t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18.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а) размещение на официальном сайте (размещение на официальном сайте regulation.gov.ru в информационно-телекоммуникационной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19. При проведении мониторинга и анализа практики применения антимонопольного законодательства в федеральном органе исполнительной власти уполномоченным подразделением (должностным лицом) должны реализовываться следующие мероприятия:</w:t>
      </w:r>
    </w:p>
    <w:p w:rsidR="002506A0" w:rsidRDefault="002506A0">
      <w:pPr>
        <w:pStyle w:val="ConsPlusNormal"/>
        <w:spacing w:before="280"/>
        <w:ind w:firstLine="540"/>
        <w:jc w:val="both"/>
      </w:pPr>
      <w:bookmarkStart w:id="1" w:name="P117"/>
      <w:bookmarkEnd w:id="1"/>
      <w:r>
        <w:t>а) осуществление на постоянной основе сбора сведений о правоприменительной практике в федеральном органе исполнительной власти;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 xml:space="preserve">б) подготовка по итогам сбора информации, предусмотренной </w:t>
      </w:r>
      <w:hyperlink w:anchor="P117" w:history="1">
        <w:r>
          <w:rPr>
            <w:color w:val="0000FF"/>
          </w:rPr>
          <w:t>подпунктом "а"</w:t>
        </w:r>
      </w:hyperlink>
      <w:r>
        <w:t xml:space="preserve"> настоящего пункта, аналитической справки об изменениях и основных аспектах правоприменительной практики в федеральном органе исполнительной власти;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 xml:space="preserve">в) проведение (не реже одного раза в год) рабочих совещаний с приглашением представителей антимонопольного органа по обсуждению </w:t>
      </w:r>
      <w:r>
        <w:lastRenderedPageBreak/>
        <w:t>результатов правоприменительной практики в федеральном органе исполнительной власти.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в) возбуждение дела о нарушении антимонопольного законодательства;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 xml:space="preserve">21. Выявляемые риски нарушения антимонопольного законодательства распределяются уполномоченным органом (должностным лицом) по уровням согласно </w:t>
      </w:r>
      <w:hyperlink w:anchor="P167" w:history="1">
        <w:r>
          <w:rPr>
            <w:color w:val="0000FF"/>
          </w:rPr>
          <w:t>приложению</w:t>
        </w:r>
      </w:hyperlink>
      <w:r>
        <w:t>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22.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23.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федеральными органами исполнительной власти.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24.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Title"/>
        <w:jc w:val="center"/>
        <w:outlineLvl w:val="1"/>
      </w:pPr>
      <w:r>
        <w:t>VI. Мероприятия по снижению рисков нарушения</w:t>
      </w:r>
    </w:p>
    <w:p w:rsidR="002506A0" w:rsidRDefault="002506A0">
      <w:pPr>
        <w:pStyle w:val="ConsPlusTitle"/>
        <w:jc w:val="center"/>
      </w:pPr>
      <w:r>
        <w:t>антимонопольного законодательства</w:t>
      </w:r>
    </w:p>
    <w:p w:rsidR="002506A0" w:rsidRDefault="002506A0">
      <w:pPr>
        <w:pStyle w:val="ConsPlusNormal"/>
        <w:jc w:val="center"/>
      </w:pPr>
    </w:p>
    <w:p w:rsidR="002506A0" w:rsidRDefault="002506A0">
      <w:pPr>
        <w:pStyle w:val="ConsPlusNormal"/>
        <w:ind w:firstLine="540"/>
        <w:jc w:val="both"/>
      </w:pPr>
      <w:r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lastRenderedPageBreak/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законодательства.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27. Информация об исполнении мероприятий по снижению рисков нарушения антимонопольного законодательства должна включаться в доклад об антимонопольном комплаенсе.</w:t>
      </w:r>
    </w:p>
    <w:p w:rsidR="002506A0" w:rsidRDefault="002506A0">
      <w:pPr>
        <w:pStyle w:val="ConsPlusNormal"/>
        <w:ind w:firstLine="540"/>
        <w:jc w:val="both"/>
      </w:pPr>
    </w:p>
    <w:p w:rsidR="002506A0" w:rsidRDefault="002506A0">
      <w:pPr>
        <w:pStyle w:val="ConsPlusTitle"/>
        <w:jc w:val="center"/>
        <w:outlineLvl w:val="1"/>
      </w:pPr>
      <w:r>
        <w:t>VII. Оценка эффективности функционирования в федеральном</w:t>
      </w:r>
    </w:p>
    <w:p w:rsidR="002506A0" w:rsidRDefault="002506A0">
      <w:pPr>
        <w:pStyle w:val="ConsPlusTitle"/>
        <w:jc w:val="center"/>
      </w:pPr>
      <w:r>
        <w:t>органе исполнительной власти антимонопольного комплаенса</w:t>
      </w:r>
    </w:p>
    <w:p w:rsidR="002506A0" w:rsidRDefault="002506A0">
      <w:pPr>
        <w:pStyle w:val="ConsPlusNormal"/>
        <w:jc w:val="center"/>
      </w:pPr>
    </w:p>
    <w:p w:rsidR="002506A0" w:rsidRDefault="002506A0">
      <w:pPr>
        <w:pStyle w:val="ConsPlusNormal"/>
        <w:ind w:firstLine="540"/>
        <w:jc w:val="both"/>
      </w:pPr>
      <w:r>
        <w:t>28. В целях оценки эффективности функционирования в федеральном органе исполнительной власти антимонопольного комплаенса должны устанавливаться ключевые показатели как для уполномоченного подразделения (должностного лица), так и для федерального органа исполнительной власти в целом.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 xml:space="preserve">29. </w:t>
      </w:r>
      <w:hyperlink r:id="rId10" w:history="1">
        <w:r>
          <w:rPr>
            <w:color w:val="0000FF"/>
          </w:rPr>
          <w:t>Методика</w:t>
        </w:r>
      </w:hyperlink>
      <w: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 должна разрабатываться федеральным антимонопольным органом.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30.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комплаенса в федеральном органе исполнительной власти.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31. Информация о достижении ключевых показателей эффективности функционирования в федеральном органе исполнительной власти антимонопольного комплаенса должна включаться в доклад об антимонопольном комплаенсе.</w:t>
      </w:r>
    </w:p>
    <w:p w:rsidR="002506A0" w:rsidRDefault="002506A0">
      <w:pPr>
        <w:pStyle w:val="ConsPlusNormal"/>
        <w:jc w:val="center"/>
      </w:pPr>
    </w:p>
    <w:p w:rsidR="002506A0" w:rsidRDefault="002506A0">
      <w:pPr>
        <w:pStyle w:val="ConsPlusTitle"/>
        <w:jc w:val="center"/>
        <w:outlineLvl w:val="1"/>
      </w:pPr>
      <w:r>
        <w:t>VIII. Доклад об антимонопольном комплаенсе</w:t>
      </w:r>
    </w:p>
    <w:p w:rsidR="002506A0" w:rsidRDefault="002506A0">
      <w:pPr>
        <w:pStyle w:val="ConsPlusNormal"/>
        <w:jc w:val="center"/>
      </w:pPr>
    </w:p>
    <w:p w:rsidR="002506A0" w:rsidRDefault="002506A0">
      <w:pPr>
        <w:pStyle w:val="ConsPlusNormal"/>
        <w:ind w:firstLine="540"/>
        <w:jc w:val="both"/>
      </w:pPr>
      <w:r>
        <w:t>32. Доклад об антимонопольном комплаенсе должен содержать информацию: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а) о результатах проведенной оценки рисков нарушения федеральным органом исполнительной власти антимонопольного законодательства;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 xml:space="preserve">в) о достижении ключевых показателей эффективности антимонопольного </w:t>
      </w:r>
      <w:r>
        <w:lastRenderedPageBreak/>
        <w:t>комплаенса.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33. Доклад об антимонопольном комплаенсе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>34. Доклад об антимонопольном комплаенсе, утвержденный коллегиальным органом, должен размещаться на официальном сайте.</w:t>
      </w:r>
    </w:p>
    <w:p w:rsidR="002506A0" w:rsidRDefault="002506A0">
      <w:pPr>
        <w:pStyle w:val="ConsPlusNormal"/>
        <w:spacing w:before="280"/>
        <w:ind w:firstLine="540"/>
        <w:jc w:val="both"/>
      </w:pPr>
      <w:r>
        <w:t xml:space="preserve">35. Доклад об антимонопольном комплаенсе, утвержденный коллегиальным органом, должен направляться федеральным органом исполнительной власти в Федеральную антимонопольную службу для включения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11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конкуренции".</w:t>
      </w: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Normal"/>
        <w:jc w:val="right"/>
        <w:outlineLvl w:val="1"/>
      </w:pPr>
      <w:r>
        <w:t>Приложение</w:t>
      </w:r>
    </w:p>
    <w:p w:rsidR="002506A0" w:rsidRDefault="002506A0">
      <w:pPr>
        <w:pStyle w:val="ConsPlusNormal"/>
        <w:jc w:val="right"/>
      </w:pPr>
      <w:r>
        <w:t>к методическим рекомендациям</w:t>
      </w:r>
    </w:p>
    <w:p w:rsidR="002506A0" w:rsidRDefault="002506A0">
      <w:pPr>
        <w:pStyle w:val="ConsPlusNormal"/>
        <w:jc w:val="right"/>
      </w:pPr>
      <w:r>
        <w:t>по созданию и организации федеральными</w:t>
      </w:r>
    </w:p>
    <w:p w:rsidR="002506A0" w:rsidRDefault="002506A0">
      <w:pPr>
        <w:pStyle w:val="ConsPlusNormal"/>
        <w:jc w:val="right"/>
      </w:pPr>
      <w:r>
        <w:t>органами исполнительной власти</w:t>
      </w:r>
    </w:p>
    <w:p w:rsidR="002506A0" w:rsidRDefault="002506A0">
      <w:pPr>
        <w:pStyle w:val="ConsPlusNormal"/>
        <w:jc w:val="right"/>
      </w:pPr>
      <w:r>
        <w:t>системы внутреннего обеспечения</w:t>
      </w:r>
    </w:p>
    <w:p w:rsidR="002506A0" w:rsidRDefault="002506A0">
      <w:pPr>
        <w:pStyle w:val="ConsPlusNormal"/>
        <w:jc w:val="right"/>
      </w:pPr>
      <w:r>
        <w:t>соответствия требованиям</w:t>
      </w:r>
    </w:p>
    <w:p w:rsidR="002506A0" w:rsidRDefault="002506A0">
      <w:pPr>
        <w:pStyle w:val="ConsPlusNormal"/>
        <w:jc w:val="right"/>
      </w:pPr>
      <w:r>
        <w:t>антимонопольного законодательства</w:t>
      </w: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Title"/>
        <w:jc w:val="center"/>
      </w:pPr>
      <w:bookmarkStart w:id="2" w:name="P167"/>
      <w:bookmarkEnd w:id="2"/>
      <w:r>
        <w:t>УРОВНИ РИСКОВ НАРУШЕНИЯ АНТИМОНОПОЛЬНОГО ЗАКОНОДАТЕЛЬСТВА</w:t>
      </w:r>
    </w:p>
    <w:p w:rsidR="002506A0" w:rsidRDefault="002506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49"/>
      </w:tblGrid>
      <w:tr w:rsidR="002506A0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06A0" w:rsidRDefault="002506A0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06A0" w:rsidRDefault="002506A0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2506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06A0" w:rsidRDefault="002506A0">
            <w:pPr>
              <w:pStyle w:val="ConsPlusNormal"/>
            </w:pPr>
            <w:r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06A0" w:rsidRDefault="002506A0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2506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06A0" w:rsidRDefault="002506A0">
            <w:pPr>
              <w:pStyle w:val="ConsPlusNormal"/>
            </w:pPr>
            <w:r>
              <w:t xml:space="preserve">Незначительный </w:t>
            </w:r>
            <w:r>
              <w:lastRenderedPageBreak/>
              <w:t>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2506A0" w:rsidRDefault="002506A0">
            <w:pPr>
              <w:pStyle w:val="ConsPlusNormal"/>
            </w:pPr>
            <w:r>
              <w:lastRenderedPageBreak/>
              <w:t xml:space="preserve">вероятность выдачи федеральному органу </w:t>
            </w:r>
            <w:r>
              <w:lastRenderedPageBreak/>
              <w:t>исполнительной власти предупреждения</w:t>
            </w:r>
          </w:p>
        </w:tc>
      </w:tr>
      <w:tr w:rsidR="002506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506A0" w:rsidRDefault="002506A0">
            <w:pPr>
              <w:pStyle w:val="ConsPlusNormal"/>
            </w:pPr>
            <w:r>
              <w:lastRenderedPageBreak/>
              <w:t>Существенный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2506A0" w:rsidRDefault="002506A0">
            <w:pPr>
              <w:pStyle w:val="ConsPlusNormal"/>
            </w:pPr>
            <w: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2506A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6A0" w:rsidRDefault="002506A0">
            <w:pPr>
              <w:pStyle w:val="ConsPlusNormal"/>
            </w:pPr>
            <w:r>
              <w:t>Высокий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6A0" w:rsidRDefault="002506A0">
            <w:pPr>
              <w:pStyle w:val="ConsPlusNormal"/>
            </w:pPr>
            <w:r>
              <w:t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2506A0" w:rsidRDefault="002506A0">
      <w:pPr>
        <w:pStyle w:val="ConsPlusNormal"/>
        <w:jc w:val="both"/>
      </w:pPr>
    </w:p>
    <w:p w:rsidR="002506A0" w:rsidRDefault="002506A0">
      <w:pPr>
        <w:pStyle w:val="ConsPlusNormal"/>
        <w:jc w:val="both"/>
      </w:pPr>
    </w:p>
    <w:p w:rsidR="002506A0" w:rsidRDefault="002506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760" w:rsidRDefault="00D80760">
      <w:bookmarkStart w:id="3" w:name="_GoBack"/>
      <w:bookmarkEnd w:id="3"/>
    </w:p>
    <w:sectPr w:rsidR="00D80760" w:rsidSect="00640513">
      <w:pgSz w:w="11906" w:h="16838"/>
      <w:pgMar w:top="1418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A0"/>
    <w:rsid w:val="002506A0"/>
    <w:rsid w:val="009829B8"/>
    <w:rsid w:val="00D8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6A0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506A0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506A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6A0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506A0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506A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519E5755E496365D09B239DF27E95EF74E7D2DDFB54638C6AF8787316ADCE47FFAD28311A9CF79BF257DA9D66y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6519E5755E496365D09B239DF27E95EE7EE0D3D3AE0361DD3FF67D7B46F7DE43B6FA222D1C80E89BEC546Dy3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6519E5755E496365D09B239DF27E95EE7EE2D1D1FE54638C6AF8787316ADCE55FFF524331D82FE98E7018BD83D7CC1A29A3869138B1F7067y4J" TargetMode="External"/><Relationship Id="rId11" Type="http://schemas.openxmlformats.org/officeDocument/2006/relationships/hyperlink" Target="consultantplus://offline/ref=F46519E5755E496365D09B239DF27E95EF74E5DEDFF054638C6AF8787316ADCE55FFF527361E89A2C8A800D79E6F6FC2A79A3B6B0C68y0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46519E5755E496365D09B239DF27E95EF77E0D0DDF054638C6AF8787316ADCE55FFF524331D82F690E7018BD83D7CC1A29A3869138B1F7067y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6519E5755E496365D09B239DF27E95EF74E5DEDFF054638C6AF8787316ADCE47FFAD28311A9CF79BF257DA9D66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2019-12-27T09:50:00Z</dcterms:created>
  <dcterms:modified xsi:type="dcterms:W3CDTF">2019-12-27T09:51:00Z</dcterms:modified>
</cp:coreProperties>
</file>